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F" w:rsidRDefault="00BF50C5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1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14F">
        <w:rPr>
          <w:sz w:val="16"/>
          <w:szCs w:val="16"/>
        </w:rPr>
        <w:t xml:space="preserve">                            </w:t>
      </w:r>
    </w:p>
    <w:p w:rsidR="0032214F" w:rsidRDefault="0032214F" w:rsidP="007F18B6">
      <w:pPr>
        <w:autoSpaceDE w:val="0"/>
        <w:autoSpaceDN w:val="0"/>
        <w:adjustRightInd w:val="0"/>
        <w:rPr>
          <w:b/>
        </w:rPr>
      </w:pPr>
    </w:p>
    <w:p w:rsidR="0032214F" w:rsidRPr="009B2E4B" w:rsidRDefault="0032214F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2214F" w:rsidRDefault="0032214F" w:rsidP="007F18B6">
      <w:pPr>
        <w:ind w:right="-1"/>
        <w:rPr>
          <w:b/>
        </w:rPr>
      </w:pPr>
    </w:p>
    <w:p w:rsidR="0032214F" w:rsidRDefault="0032214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2214F" w:rsidRDefault="0032214F" w:rsidP="007F18B6">
      <w:pPr>
        <w:ind w:right="-1"/>
        <w:rPr>
          <w:bCs/>
          <w:sz w:val="20"/>
        </w:rPr>
      </w:pPr>
    </w:p>
    <w:p w:rsidR="0032214F" w:rsidRPr="00E66F80" w:rsidRDefault="0032214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E73080">
        <w:rPr>
          <w:bCs w:val="0"/>
          <w:kern w:val="0"/>
          <w:szCs w:val="22"/>
        </w:rPr>
        <w:t>Oprava bytu č. 8, třída Přátelství č.p. 2024 v Písku</w:t>
      </w:r>
      <w:r w:rsidRPr="00E66F80">
        <w:t>“</w:t>
      </w:r>
      <w:bookmarkEnd w:id="0"/>
      <w:bookmarkEnd w:id="1"/>
    </w:p>
    <w:p w:rsidR="0032214F" w:rsidRDefault="0032214F" w:rsidP="007F18B6">
      <w:pPr>
        <w:pStyle w:val="Zkladntext"/>
        <w:rPr>
          <w:rFonts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>.</w:t>
      </w:r>
      <w:proofErr w:type="gramEnd"/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2214F" w:rsidRPr="00711195" w:rsidRDefault="0032214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2214F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2214F" w:rsidRPr="00711195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2214F" w:rsidRPr="00711195" w:rsidRDefault="0032214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2214F" w:rsidRPr="00742CA2" w:rsidRDefault="0032214F" w:rsidP="007F18B6">
      <w:pPr>
        <w:pStyle w:val="Zkladntext"/>
        <w:rPr>
          <w:rFonts w:ascii="Arial" w:hAnsi="Arial" w:cs="Arial"/>
        </w:rPr>
      </w:pP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2214F" w:rsidRPr="00742CA2" w:rsidRDefault="0032214F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2214F" w:rsidRPr="00A94379" w:rsidRDefault="0032214F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2214F" w:rsidRDefault="0032214F" w:rsidP="007F18B6">
      <w:pPr>
        <w:pStyle w:val="Zkladntext"/>
      </w:pPr>
    </w:p>
    <w:p w:rsidR="0032214F" w:rsidRDefault="0032214F" w:rsidP="007F18B6">
      <w:pPr>
        <w:pStyle w:val="Zkladntext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32214F" w:rsidRDefault="0032214F" w:rsidP="007F18B6">
      <w:pPr>
        <w:rPr>
          <w:i/>
        </w:rPr>
      </w:pPr>
    </w:p>
    <w:p w:rsidR="0032214F" w:rsidRPr="00FB4548" w:rsidRDefault="00E73080" w:rsidP="007F18B6">
      <w:pPr>
        <w:rPr>
          <w:b/>
          <w:i/>
        </w:rPr>
      </w:pPr>
      <w:r>
        <w:rPr>
          <w:b/>
          <w:szCs w:val="22"/>
        </w:rPr>
        <w:t>Oprava bytu č. 8, třída Přátelství č.p. 2024 v Písku</w:t>
      </w:r>
    </w:p>
    <w:p w:rsidR="0032214F" w:rsidRDefault="0032214F" w:rsidP="007F18B6">
      <w:pPr>
        <w:rPr>
          <w:i/>
        </w:rPr>
      </w:pPr>
    </w:p>
    <w:p w:rsidR="0032214F" w:rsidRDefault="0032214F" w:rsidP="007F18B6">
      <w:pPr>
        <w:rPr>
          <w:i/>
        </w:rPr>
      </w:pPr>
    </w:p>
    <w:p w:rsidR="0032214F" w:rsidRPr="00564A94" w:rsidRDefault="0032214F" w:rsidP="007F18B6">
      <w:pPr>
        <w:pStyle w:val="Zkladntextodsazen"/>
        <w:ind w:left="0"/>
        <w:rPr>
          <w:snapToGrid w:val="0"/>
          <w:sz w:val="18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lastRenderedPageBreak/>
        <w:t>2. Místo plnění</w:t>
      </w:r>
      <w:bookmarkEnd w:id="4"/>
      <w:bookmarkEnd w:id="5"/>
    </w:p>
    <w:p w:rsidR="0032214F" w:rsidRPr="00375063" w:rsidRDefault="0032214F" w:rsidP="007F18B6">
      <w:pPr>
        <w:pStyle w:val="Zkladntext"/>
        <w:rPr>
          <w:sz w:val="22"/>
          <w:szCs w:val="22"/>
        </w:rPr>
      </w:pPr>
    </w:p>
    <w:p w:rsidR="0032214F" w:rsidRDefault="0032214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 xml:space="preserve">Místem plnění veřejné zakázky </w:t>
      </w:r>
      <w:proofErr w:type="gramStart"/>
      <w:r w:rsidRPr="00375063">
        <w:rPr>
          <w:rFonts w:ascii="Arial" w:hAnsi="Arial" w:cs="Arial"/>
          <w:sz w:val="22"/>
          <w:szCs w:val="22"/>
        </w:rPr>
        <w:t>je: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 xml:space="preserve"> </w:t>
      </w:r>
      <w:r w:rsidR="00D02995">
        <w:rPr>
          <w:rFonts w:ascii="Arial" w:hAnsi="Arial" w:cs="Arial"/>
        </w:rPr>
        <w:t xml:space="preserve">třída Přátelství č.p. </w:t>
      </w:r>
      <w:r w:rsidR="00E73080">
        <w:rPr>
          <w:rFonts w:ascii="Arial" w:hAnsi="Arial" w:cs="Arial"/>
        </w:rPr>
        <w:t>2024</w:t>
      </w:r>
      <w:r w:rsidR="00D02995">
        <w:rPr>
          <w:rFonts w:ascii="Arial" w:hAnsi="Arial" w:cs="Arial"/>
        </w:rPr>
        <w:t xml:space="preserve"> v Písku</w:t>
      </w:r>
    </w:p>
    <w:p w:rsidR="0032214F" w:rsidRPr="006249C2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32214F" w:rsidRPr="00037254" w:rsidRDefault="0032214F" w:rsidP="007F18B6">
      <w:pPr>
        <w:pStyle w:val="Bezmezer"/>
        <w:jc w:val="both"/>
        <w:rPr>
          <w:rFonts w:cs="Arial"/>
        </w:rPr>
      </w:pPr>
    </w:p>
    <w:p w:rsidR="0032214F" w:rsidRPr="006249C2" w:rsidRDefault="0032214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2214F" w:rsidRPr="000A6F31" w:rsidRDefault="0032214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="000779AE">
        <w:t>20</w:t>
      </w:r>
      <w:r w:rsidRPr="000A6F31">
        <w:t>.1.2019</w:t>
      </w:r>
    </w:p>
    <w:p w:rsidR="0032214F" w:rsidRPr="00742CA2" w:rsidRDefault="0032214F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294F11">
        <w:t>31.5.</w:t>
      </w:r>
      <w:bookmarkStart w:id="8" w:name="_GoBack"/>
      <w:bookmarkEnd w:id="8"/>
      <w:r w:rsidRPr="000A6F31">
        <w:t>2019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2214F" w:rsidRPr="00EB1AF8" w:rsidRDefault="0032214F" w:rsidP="007F18B6">
      <w:pPr>
        <w:rPr>
          <w:color w:val="FF0000"/>
        </w:rPr>
      </w:pPr>
    </w:p>
    <w:p w:rsidR="0032214F" w:rsidRPr="00EB1AF8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9" w:name="_Toc465265686"/>
      <w:bookmarkStart w:id="10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9"/>
      <w:bookmarkEnd w:id="10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2214F" w:rsidRPr="00375063" w:rsidRDefault="0032214F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2214F" w:rsidRPr="00375063" w:rsidRDefault="0032214F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2214F" w:rsidRPr="00375063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2214F" w:rsidRDefault="0032214F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2214F" w:rsidRDefault="0032214F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32214F" w:rsidRPr="000A6F31" w:rsidRDefault="0032214F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1" w:name="_Toc465265690"/>
      <w:bookmarkStart w:id="12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1"/>
      <w:bookmarkEnd w:id="12"/>
    </w:p>
    <w:p w:rsidR="0032214F" w:rsidRPr="00742CA2" w:rsidRDefault="0032214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2214F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2214F" w:rsidRPr="00564A94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214F" w:rsidRDefault="0032214F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2214F" w:rsidRDefault="0032214F" w:rsidP="007F18B6">
      <w:pPr>
        <w:pStyle w:val="Bezmezer"/>
        <w:jc w:val="both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3" w:name="_Toc465265691"/>
      <w:bookmarkStart w:id="14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3"/>
      <w:bookmarkEnd w:id="14"/>
    </w:p>
    <w:p w:rsidR="0032214F" w:rsidRDefault="0032214F" w:rsidP="007F18B6">
      <w:pPr>
        <w:pStyle w:val="Zkladntext"/>
        <w:rPr>
          <w:rFonts w:cs="Arial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2214F" w:rsidRPr="00062E4C" w:rsidRDefault="0032214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2214F" w:rsidRDefault="0032214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2214F" w:rsidRPr="00062E4C" w:rsidRDefault="0032214F" w:rsidP="007F18B6">
      <w:pPr>
        <w:tabs>
          <w:tab w:val="left" w:pos="2100"/>
        </w:tabs>
        <w:spacing w:after="120"/>
        <w:rPr>
          <w:szCs w:val="22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lastRenderedPageBreak/>
        <w:t>Další podmínky</w:t>
      </w:r>
    </w:p>
    <w:p w:rsidR="0032214F" w:rsidRPr="00711195" w:rsidRDefault="0032214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2214F" w:rsidRPr="00062E4C" w:rsidRDefault="0032214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2214F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proofErr w:type="gramStart"/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2214F" w:rsidRPr="00062E4C" w:rsidRDefault="0032214F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2214F" w:rsidRDefault="0032214F" w:rsidP="007F18B6">
      <w:pPr>
        <w:pStyle w:val="Bezmezer"/>
        <w:jc w:val="both"/>
        <w:rPr>
          <w:rFonts w:cs="Arial"/>
          <w:sz w:val="28"/>
        </w:rPr>
      </w:pPr>
    </w:p>
    <w:p w:rsidR="0032214F" w:rsidRPr="00125B8B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5" w:name="_Toc465265692"/>
      <w:bookmarkStart w:id="16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5"/>
      <w:bookmarkEnd w:id="16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2214F" w:rsidRPr="00841F07" w:rsidRDefault="0032214F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2214F" w:rsidRPr="00841F07" w:rsidRDefault="0032214F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D02995">
        <w:rPr>
          <w:b/>
          <w:bCs/>
          <w:color w:val="auto"/>
          <w:sz w:val="22"/>
          <w:szCs w:val="22"/>
          <w:u w:val="single"/>
        </w:rPr>
        <w:t>2</w:t>
      </w:r>
      <w:r w:rsidR="00E73080">
        <w:rPr>
          <w:b/>
          <w:bCs/>
          <w:color w:val="auto"/>
          <w:sz w:val="22"/>
          <w:szCs w:val="22"/>
          <w:u w:val="single"/>
        </w:rPr>
        <w:t>1</w:t>
      </w:r>
      <w:r w:rsidR="00D02995">
        <w:rPr>
          <w:b/>
          <w:bCs/>
          <w:color w:val="auto"/>
          <w:sz w:val="22"/>
          <w:szCs w:val="22"/>
          <w:u w:val="single"/>
        </w:rPr>
        <w:t>0</w:t>
      </w:r>
      <w:r>
        <w:rPr>
          <w:b/>
          <w:bCs/>
          <w:color w:val="auto"/>
          <w:sz w:val="22"/>
          <w:szCs w:val="22"/>
          <w:u w:val="single"/>
        </w:rPr>
        <w:t>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062E4C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2214F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lastRenderedPageBreak/>
        <w:t xml:space="preserve">Jednotkové ceny uvedené, jsou cenami pevnými po celou dobu realizace předmětu veřejné zakázky.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2214F" w:rsidRPr="00BC063A" w:rsidTr="005649A9">
        <w:trPr>
          <w:trHeight w:val="107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32214F" w:rsidRPr="00BC063A" w:rsidRDefault="0032214F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Smlouva o dílo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</w:t>
      </w:r>
      <w:r w:rsidRPr="00BC063A">
        <w:rPr>
          <w:rFonts w:ascii="Arial" w:hAnsi="Arial" w:cs="Arial"/>
        </w:rPr>
        <w:lastRenderedPageBreak/>
        <w:t xml:space="preserve">podepsanou osobou oprávněnou jednat jménem či za uchazeče, učiní součástí nabídky jako návrh Smlouvy.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Zhotovitel není oprávněn postoupit práva, povinnosti, závazky a pohledávky z uzavřené smlouvy o </w:t>
      </w:r>
      <w:proofErr w:type="gramStart"/>
      <w:r w:rsidRPr="00BC063A">
        <w:rPr>
          <w:rFonts w:ascii="Arial" w:hAnsi="Arial" w:cs="Arial"/>
        </w:rPr>
        <w:t>dílo  třetím</w:t>
      </w:r>
      <w:proofErr w:type="gramEnd"/>
      <w:r w:rsidRPr="00BC063A">
        <w:rPr>
          <w:rFonts w:ascii="Arial" w:hAnsi="Arial" w:cs="Arial"/>
        </w:rPr>
        <w:t xml:space="preserve"> osobám bez předchozího písemného souhlasu objednatele.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32214F" w:rsidRPr="00BC063A" w:rsidRDefault="0032214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</w:t>
      </w:r>
      <w:proofErr w:type="gramStart"/>
      <w:r w:rsidRPr="00BC063A">
        <w:rPr>
          <w:rFonts w:ascii="Arial" w:hAnsi="Arial" w:cs="Arial"/>
          <w:b/>
          <w:sz w:val="22"/>
          <w:szCs w:val="22"/>
        </w:rPr>
        <w:t xml:space="preserve">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</w:t>
      </w:r>
      <w:proofErr w:type="gramEnd"/>
      <w:r w:rsidRPr="00BC063A">
        <w:rPr>
          <w:rFonts w:ascii="Arial" w:eastAsia="SimSun" w:hAnsi="Arial" w:cs="Arial"/>
          <w:sz w:val="22"/>
          <w:szCs w:val="22"/>
        </w:rPr>
        <w:t>příloha č. 3 této ZD).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2214F" w:rsidRPr="00BC063A" w:rsidRDefault="0032214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2214F" w:rsidRPr="00BC063A" w:rsidRDefault="0032214F" w:rsidP="007F18B6">
      <w:r w:rsidRPr="00BC063A">
        <w:t>Nabídky budou doručeny poštou nebo osobně do sídla zadavatele, dle níže uvedených požadavků:</w:t>
      </w:r>
    </w:p>
    <w:p w:rsidR="0032214F" w:rsidRPr="00BC063A" w:rsidRDefault="0032214F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E73080">
        <w:rPr>
          <w:b/>
        </w:rPr>
        <w:t>10</w:t>
      </w:r>
      <w:r w:rsidR="00294F11">
        <w:rPr>
          <w:b/>
        </w:rPr>
        <w:t>.1.2019</w:t>
      </w:r>
      <w:r w:rsidRPr="00BC063A">
        <w:rPr>
          <w:b/>
        </w:rPr>
        <w:t>, do 8:00 hod.</w:t>
      </w:r>
    </w:p>
    <w:p w:rsidR="0032214F" w:rsidRPr="00BC063A" w:rsidRDefault="0032214F" w:rsidP="007F18B6">
      <w:r w:rsidRPr="00BC063A">
        <w:t>Místo podání nabídek:</w:t>
      </w:r>
      <w:r w:rsidRPr="00BC063A">
        <w:tab/>
        <w:t xml:space="preserve">Domovní a bytová správa města </w:t>
      </w:r>
      <w:proofErr w:type="gramStart"/>
      <w:r w:rsidRPr="00BC063A">
        <w:t>Písek - podatelna</w:t>
      </w:r>
      <w:proofErr w:type="gramEnd"/>
    </w:p>
    <w:p w:rsidR="0032214F" w:rsidRPr="00BC063A" w:rsidRDefault="0032214F" w:rsidP="007F18B6">
      <w:pPr>
        <w:ind w:left="2124" w:firstLine="708"/>
      </w:pPr>
      <w:r w:rsidRPr="00BC063A">
        <w:t xml:space="preserve">Fügnerovo náměstí 42, 397 01 Písek. </w:t>
      </w:r>
    </w:p>
    <w:p w:rsidR="0032214F" w:rsidRPr="00BC063A" w:rsidRDefault="0032214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2214F" w:rsidRPr="00BC063A" w:rsidRDefault="0032214F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2214F" w:rsidRPr="00BC063A" w:rsidRDefault="0032214F" w:rsidP="007F18B6">
      <w:pPr>
        <w:spacing w:after="120"/>
      </w:pPr>
      <w:r w:rsidRPr="00BC063A">
        <w:t>Nabídky podané po výše uvedené lhůtě nebudou zadavatelem do soutěže přijaty.</w:t>
      </w:r>
    </w:p>
    <w:p w:rsidR="0032214F" w:rsidRPr="00BC063A" w:rsidRDefault="0032214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2214F" w:rsidRDefault="0032214F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2214F" w:rsidRDefault="0032214F" w:rsidP="007F18B6"/>
    <w:p w:rsidR="0032214F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2214F" w:rsidRPr="00BC063A" w:rsidRDefault="0032214F" w:rsidP="007F18B6"/>
    <w:p w:rsidR="0032214F" w:rsidRPr="00BC063A" w:rsidRDefault="0032214F" w:rsidP="007F18B6">
      <w:r w:rsidRPr="00BC063A">
        <w:t xml:space="preserve">Otevírání obálek s nabídkami se bude konat </w:t>
      </w:r>
      <w:r w:rsidR="00D02995">
        <w:t>10</w:t>
      </w:r>
      <w:r w:rsidR="00294F11">
        <w:t>.1.</w:t>
      </w:r>
      <w:r w:rsidRPr="00BC063A">
        <w:t>201</w:t>
      </w:r>
      <w:r w:rsidR="00294F11">
        <w:t>9</w:t>
      </w:r>
      <w:r w:rsidRPr="00BC063A">
        <w:t xml:space="preserve"> v</w:t>
      </w:r>
      <w:r w:rsidR="00BF50C5">
        <w:t> </w:t>
      </w:r>
      <w:r w:rsidRPr="00BC063A">
        <w:t>1</w:t>
      </w:r>
      <w:r w:rsidR="00E73080">
        <w:t>1</w:t>
      </w:r>
      <w:r w:rsidR="00BF50C5">
        <w:t>:0</w:t>
      </w:r>
      <w:r>
        <w:t>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  <w:r w:rsidR="00BF50C5">
        <w:t>.</w:t>
      </w:r>
    </w:p>
    <w:p w:rsidR="0032214F" w:rsidRPr="00BC063A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32214F" w:rsidRPr="00BC063A" w:rsidRDefault="0032214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lastRenderedPageBreak/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2214F" w:rsidRPr="00BC063A" w:rsidRDefault="0032214F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2214F" w:rsidRPr="00BC063A" w:rsidRDefault="0032214F" w:rsidP="007F18B6">
      <w:pPr>
        <w:spacing w:after="120"/>
      </w:pPr>
      <w:r w:rsidRPr="00BC063A">
        <w:t>Náklady spojené s účastí v tomto výběrovém řízení nese každý účastník sám.</w:t>
      </w:r>
    </w:p>
    <w:p w:rsidR="0032214F" w:rsidRPr="00BC063A" w:rsidRDefault="0032214F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2214F" w:rsidRPr="00BC063A" w:rsidRDefault="0032214F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2214F" w:rsidRPr="00BC063A" w:rsidRDefault="0032214F" w:rsidP="007F18B6">
      <w:pPr>
        <w:spacing w:after="120"/>
      </w:pPr>
      <w:r w:rsidRPr="00BC063A">
        <w:t>Dále si zadavatel vyhrazuje právo změnit nebo doplnit předloženou smlouvu.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32214F" w:rsidRPr="00BC063A" w:rsidRDefault="0032214F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</w:t>
      </w:r>
      <w:proofErr w:type="gramStart"/>
      <w:r w:rsidRPr="00BC063A">
        <w:t>Trojáka,</w:t>
      </w:r>
      <w:r w:rsidRPr="00BC063A">
        <w:rPr>
          <w:u w:val="single"/>
        </w:rPr>
        <w:t>,</w:t>
      </w:r>
      <w:proofErr w:type="gramEnd"/>
      <w:r w:rsidRPr="00BC063A">
        <w:rPr>
          <w:u w:val="single"/>
        </w:rPr>
        <w:t xml:space="preserve">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2214F" w:rsidRPr="00BC063A" w:rsidRDefault="0032214F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2214F" w:rsidRPr="00BC063A" w:rsidRDefault="0032214F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smluv). Uchazeči souhlasí se zveřejněním smlouvy v souladu se zákonem č. 134/2016 Sb., o </w:t>
      </w:r>
      <w:r w:rsidRPr="00BC063A">
        <w:lastRenderedPageBreak/>
        <w:t>zadávání veřejných zakázek a zákonem č. 106/1999 Sb., o svobodném přístupu k informacím. Tento souhlas je udělen na dobu neurčitou až do odvolání.</w:t>
      </w:r>
    </w:p>
    <w:p w:rsidR="0032214F" w:rsidRPr="00BC063A" w:rsidRDefault="0032214F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2214F" w:rsidRPr="00BC063A" w:rsidRDefault="0032214F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2214F" w:rsidRPr="00BC063A" w:rsidRDefault="0032214F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2214F" w:rsidRPr="00BC063A" w:rsidRDefault="0032214F" w:rsidP="007F18B6">
      <w:pPr>
        <w:spacing w:before="120"/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Písku </w:t>
      </w:r>
      <w:r w:rsidRPr="00BC063A">
        <w:rPr>
          <w:rFonts w:ascii="Arial" w:hAnsi="Arial" w:cs="Arial"/>
        </w:rPr>
        <w:t xml:space="preserve"> dne</w:t>
      </w:r>
      <w:proofErr w:type="gramEnd"/>
      <w:r w:rsidRPr="00BC063A"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>26.11</w:t>
      </w:r>
      <w:r>
        <w:rPr>
          <w:rFonts w:ascii="Arial" w:hAnsi="Arial" w:cs="Arial"/>
        </w:rPr>
        <w:t>.2018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2214F" w:rsidRPr="00453E91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:rsidR="0032214F" w:rsidRDefault="0032214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2214F" w:rsidRPr="004C5452" w:rsidRDefault="0032214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E73080">
        <w:rPr>
          <w:b/>
          <w:kern w:val="0"/>
          <w:szCs w:val="22"/>
        </w:rPr>
        <w:t>Oprava bytu č. 8, třída Přátelství č.p. 2024 v Písku</w:t>
      </w:r>
    </w:p>
    <w:p w:rsidR="0032214F" w:rsidRDefault="0032214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IČO :</w:t>
            </w:r>
            <w:proofErr w:type="gramEnd"/>
            <w:r>
              <w:rPr>
                <w:b/>
                <w:sz w:val="20"/>
              </w:rPr>
              <w:t xml:space="preserve"> 00512 362                     DIČ: CZ00512362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proofErr w:type="gramStart"/>
            <w:r>
              <w:rPr>
                <w:sz w:val="16"/>
                <w:szCs w:val="16"/>
              </w:rPr>
              <w:t>E-mail :</w:t>
            </w:r>
            <w:proofErr w:type="gramEnd"/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Pr="000760CA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:rsidR="0032214F" w:rsidRDefault="0032214F" w:rsidP="007F18B6">
      <w:pPr>
        <w:rPr>
          <w:b/>
        </w:rPr>
      </w:pPr>
    </w:p>
    <w:p w:rsidR="0032214F" w:rsidRPr="005B224A" w:rsidRDefault="00BF50C5" w:rsidP="007F18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oddíl Pr. vložka16, ze dne 20.3.2001</w:t>
                            </w:r>
                          </w:p>
                          <w:p w:rsidR="0032214F" w:rsidRDefault="0032214F" w:rsidP="007F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79.55pt;margin-top:.9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    <v:textbox>
                  <w:txbxContent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32214F" w:rsidRDefault="0032214F" w:rsidP="007F18B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2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0" t="0" r="0" b="0"/>
                <wp:wrapSquare wrapText="largest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Default="0032214F" w:rsidP="007F18B6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540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    <v:fill opacity="0"/>
                <v:textbox inset="0,0,0,0">
                  <w:txbxContent>
                    <w:p w:rsidR="0032214F" w:rsidRDefault="0032214F" w:rsidP="007F18B6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2214F">
        <w:rPr>
          <w:sz w:val="16"/>
          <w:szCs w:val="16"/>
        </w:rPr>
        <w:t xml:space="preserve">   </w:t>
      </w:r>
      <w:r w:rsidR="0032214F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2214F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2214F" w:rsidRDefault="0032214F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2214F" w:rsidRDefault="0032214F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2214F" w:rsidRDefault="0032214F" w:rsidP="007F18B6">
      <w:pPr>
        <w:pStyle w:val="Nzev"/>
        <w:jc w:val="both"/>
        <w:rPr>
          <w:sz w:val="28"/>
        </w:rPr>
      </w:pPr>
    </w:p>
    <w:p w:rsidR="0032214F" w:rsidRPr="00D65504" w:rsidRDefault="0032214F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2214F" w:rsidRPr="0016163C" w:rsidRDefault="0032214F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2214F" w:rsidRPr="00E75624" w:rsidRDefault="0032214F" w:rsidP="007F18B6"/>
    <w:p w:rsidR="0032214F" w:rsidRDefault="00E73080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8, třída Přátelství č.p. 2024 v Písku</w:t>
      </w:r>
    </w:p>
    <w:p w:rsidR="0032214F" w:rsidRPr="004C5452" w:rsidRDefault="0032214F" w:rsidP="004C5452">
      <w:pPr>
        <w:jc w:val="center"/>
        <w:rPr>
          <w:b/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2214F" w:rsidRDefault="0032214F" w:rsidP="007F18B6">
      <w:pPr>
        <w:tabs>
          <w:tab w:val="left" w:pos="1452"/>
        </w:tabs>
        <w:spacing w:line="360" w:lineRule="auto"/>
        <w:rPr>
          <w:sz w:val="20"/>
        </w:rPr>
      </w:pPr>
    </w:p>
    <w:p w:rsidR="0032214F" w:rsidRPr="00E75624" w:rsidRDefault="0032214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2214F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2214F" w:rsidRPr="00D65504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2214F" w:rsidRDefault="0032214F" w:rsidP="007F18B6">
      <w:pPr>
        <w:rPr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E75624">
        <w:rPr>
          <w:sz w:val="20"/>
        </w:rPr>
        <w:t>V ……</w:t>
      </w:r>
      <w:proofErr w:type="gramStart"/>
      <w:r w:rsidRPr="00E75624">
        <w:rPr>
          <w:sz w:val="20"/>
        </w:rPr>
        <w:t>…….</w:t>
      </w:r>
      <w:proofErr w:type="gramEnd"/>
      <w:r w:rsidRPr="00E75624">
        <w:rPr>
          <w:sz w:val="20"/>
        </w:rPr>
        <w:t>.</w:t>
      </w:r>
      <w:r>
        <w:rPr>
          <w:sz w:val="20"/>
        </w:rPr>
        <w:t xml:space="preserve"> dne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32214F" w:rsidRPr="00E75624" w:rsidRDefault="0032214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2214F" w:rsidRPr="00E75624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spacing w:line="360" w:lineRule="auto"/>
      </w:pPr>
    </w:p>
    <w:p w:rsidR="0032214F" w:rsidRDefault="0032214F" w:rsidP="007F18B6">
      <w:pPr>
        <w:spacing w:line="360" w:lineRule="auto"/>
      </w:pPr>
      <w:r>
        <w:rPr>
          <w:sz w:val="16"/>
          <w:szCs w:val="16"/>
        </w:rPr>
        <w:t xml:space="preserve">                            </w:t>
      </w:r>
    </w:p>
    <w:p w:rsidR="0032214F" w:rsidRPr="00CB1129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>Příloha č. 3</w:t>
      </w:r>
    </w:p>
    <w:p w:rsidR="0032214F" w:rsidRDefault="0032214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2214F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2214F" w:rsidRPr="004C5452" w:rsidRDefault="00E73080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8, třída Přátelství č.p. 2024 v Písku</w:t>
      </w:r>
    </w:p>
    <w:p w:rsidR="0032214F" w:rsidRDefault="0032214F" w:rsidP="007F18B6">
      <w:pPr>
        <w:rPr>
          <w:rFonts w:cs="Times New Roman"/>
          <w:bCs/>
        </w:rPr>
      </w:pPr>
    </w:p>
    <w:p w:rsidR="0032214F" w:rsidRDefault="0032214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2214F" w:rsidRDefault="0032214F" w:rsidP="007F18B6">
      <w:pPr>
        <w:jc w:val="center"/>
      </w:pPr>
    </w:p>
    <w:p w:rsidR="0032214F" w:rsidRDefault="0032214F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2214F" w:rsidRDefault="0032214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2214F" w:rsidRDefault="0032214F" w:rsidP="007F18B6">
      <w:pPr>
        <w:spacing w:line="276" w:lineRule="auto"/>
        <w:rPr>
          <w:rFonts w:cs="Times New Roman"/>
          <w:sz w:val="20"/>
        </w:rPr>
      </w:pPr>
    </w:p>
    <w:p w:rsidR="0032214F" w:rsidRDefault="0032214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2214F" w:rsidRDefault="0032214F" w:rsidP="007F18B6">
      <w:pPr>
        <w:rPr>
          <w:rFonts w:cs="Times New Roman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2214F" w:rsidRDefault="0032214F" w:rsidP="007F18B6">
      <w:pPr>
        <w:spacing w:line="276" w:lineRule="auto"/>
        <w:rPr>
          <w:b/>
          <w:sz w:val="2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E73080">
        <w:rPr>
          <w:b/>
          <w:szCs w:val="22"/>
        </w:rPr>
        <w:t>Oprava bytu č. 8, třída Přátelství č.p. 2024 v Písku</w:t>
      </w:r>
      <w:r>
        <w:rPr>
          <w:color w:val="000000"/>
          <w:sz w:val="20"/>
        </w:rPr>
        <w:t xml:space="preserve">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proofErr w:type="gramStart"/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r w:rsidR="00BF50C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proofErr w:type="gramEnd"/>
      <w:r w:rsidR="00D02995">
        <w:rPr>
          <w:rFonts w:cs="Times New Roman"/>
          <w:bCs/>
          <w:sz w:val="20"/>
          <w:shd w:val="clear" w:color="auto" w:fill="FFFF00"/>
          <w:lang w:val="en-US"/>
        </w:rPr>
        <w:t>Třída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Přátelství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. </w:t>
      </w:r>
      <w:r w:rsidR="00E73080">
        <w:rPr>
          <w:rFonts w:cs="Times New Roman"/>
          <w:bCs/>
          <w:sz w:val="20"/>
          <w:shd w:val="clear" w:color="auto" w:fill="FFFF00"/>
          <w:lang w:val="en-US"/>
        </w:rPr>
        <w:t>2024</w:t>
      </w:r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 v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2214F" w:rsidRDefault="0032214F" w:rsidP="007F18B6">
      <w:pPr>
        <w:autoSpaceDE w:val="0"/>
        <w:ind w:left="450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2214F" w:rsidRDefault="0032214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2214F" w:rsidRDefault="0032214F" w:rsidP="007F18B6">
      <w:pPr>
        <w:pStyle w:val="Odstavecseseznamem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Pr="00514053" w:rsidRDefault="0032214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</w:t>
      </w:r>
      <w:proofErr w:type="gramStart"/>
      <w:r w:rsidRPr="00514053">
        <w:rPr>
          <w:rFonts w:ascii="Arial" w:hAnsi="Arial" w:cs="Arial"/>
          <w:color w:val="auto"/>
          <w:sz w:val="20"/>
          <w:szCs w:val="20"/>
        </w:rPr>
        <w:t>dokončení  a</w:t>
      </w:r>
      <w:proofErr w:type="gramEnd"/>
      <w:r w:rsidRPr="00514053">
        <w:rPr>
          <w:rFonts w:ascii="Arial" w:hAnsi="Arial" w:cs="Arial"/>
          <w:color w:val="auto"/>
          <w:sz w:val="20"/>
          <w:szCs w:val="20"/>
        </w:rPr>
        <w:t xml:space="preserve"> předání díla. Cena díla činí podle předané nabídky, která je nedílnou součástí této smlouvy: </w:t>
      </w:r>
    </w:p>
    <w:p w:rsidR="0032214F" w:rsidRDefault="0032214F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 xml:space="preserve">doplnit </w:t>
      </w:r>
      <w:proofErr w:type="gramStart"/>
      <w:r>
        <w:rPr>
          <w:b/>
          <w:sz w:val="20"/>
          <w:shd w:val="clear" w:color="auto" w:fill="FFFF00"/>
        </w:rPr>
        <w:t>částku</w:t>
      </w:r>
      <w:r>
        <w:rPr>
          <w:b/>
          <w:sz w:val="20"/>
        </w:rPr>
        <w:t xml:space="preserve">  Kč</w:t>
      </w:r>
      <w:proofErr w:type="gramEnd"/>
      <w:r>
        <w:rPr>
          <w:b/>
          <w:sz w:val="20"/>
        </w:rPr>
        <w:t xml:space="preserve">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2214F" w:rsidRDefault="0032214F" w:rsidP="007F18B6">
      <w:pPr>
        <w:ind w:right="-2" w:firstLine="567"/>
        <w:rPr>
          <w:b/>
          <w:sz w:val="20"/>
        </w:rPr>
      </w:pPr>
    </w:p>
    <w:p w:rsidR="0032214F" w:rsidRPr="00876AB7" w:rsidRDefault="0032214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2214F" w:rsidRPr="00876AB7" w:rsidRDefault="0032214F" w:rsidP="007F18B6">
      <w:pPr>
        <w:ind w:left="567" w:right="-2"/>
        <w:rPr>
          <w:i/>
          <w:sz w:val="20"/>
        </w:rPr>
      </w:pPr>
    </w:p>
    <w:p w:rsidR="0032214F" w:rsidRDefault="0032214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</w:t>
      </w:r>
      <w:proofErr w:type="gramStart"/>
      <w:r>
        <w:rPr>
          <w:sz w:val="20"/>
        </w:rPr>
        <w:t>požadavku  objednatele</w:t>
      </w:r>
      <w:proofErr w:type="gramEnd"/>
      <w:r>
        <w:rPr>
          <w:sz w:val="20"/>
        </w:rPr>
        <w:t xml:space="preserve">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2214F" w:rsidRDefault="0032214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32214F" w:rsidRDefault="0032214F" w:rsidP="007F18B6">
      <w:pPr>
        <w:ind w:left="567" w:right="-2"/>
      </w:pPr>
      <w:r>
        <w:t xml:space="preserve"> </w:t>
      </w:r>
    </w:p>
    <w:p w:rsidR="0032214F" w:rsidRDefault="0032214F" w:rsidP="007F18B6">
      <w:pPr>
        <w:ind w:left="567" w:right="-2"/>
      </w:pPr>
    </w:p>
    <w:p w:rsidR="00D02995" w:rsidRDefault="00D02995" w:rsidP="007F18B6">
      <w:pPr>
        <w:ind w:left="567" w:right="-2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32214F" w:rsidRDefault="0032214F" w:rsidP="007F18B6">
      <w:pPr>
        <w:ind w:left="567" w:right="-2"/>
        <w:rPr>
          <w:b/>
          <w:szCs w:val="22"/>
        </w:rPr>
      </w:pPr>
    </w:p>
    <w:p w:rsidR="0032214F" w:rsidRDefault="0032214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2214F" w:rsidRPr="00707A2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</w:t>
      </w:r>
      <w:proofErr w:type="gramStart"/>
      <w:r>
        <w:rPr>
          <w:sz w:val="20"/>
          <w:shd w:val="clear" w:color="auto" w:fill="FFFF00"/>
        </w:rPr>
        <w:t>…….</w:t>
      </w:r>
      <w:proofErr w:type="gramEnd"/>
      <w:r>
        <w:rPr>
          <w:sz w:val="20"/>
          <w:shd w:val="clear" w:color="auto" w:fill="FFFF00"/>
        </w:rPr>
        <w:t>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ind w:left="567" w:right="-2"/>
      </w:pPr>
    </w:p>
    <w:p w:rsidR="0032214F" w:rsidRDefault="0032214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2214F" w:rsidRDefault="0032214F" w:rsidP="007F18B6">
      <w:pPr>
        <w:pStyle w:val="Odstavecseseznamem"/>
        <w:ind w:left="567"/>
        <w:jc w:val="left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 xml:space="preserve">Smlouva nabývá platnosti dnem jejího podpisu zástupci </w:t>
      </w:r>
      <w:proofErr w:type="gramStart"/>
      <w:r w:rsidRPr="0016040B">
        <w:rPr>
          <w:color w:val="000000"/>
          <w:sz w:val="20"/>
        </w:rPr>
        <w:t>poslední  ze</w:t>
      </w:r>
      <w:proofErr w:type="gramEnd"/>
      <w:r w:rsidRPr="0016040B">
        <w:rPr>
          <w:color w:val="000000"/>
          <w:sz w:val="20"/>
        </w:rPr>
        <w:t xml:space="preserve"> smluvních stran a nabývá účinnosti dnem zveřejnění v registru smluv</w:t>
      </w:r>
      <w:r>
        <w:rPr>
          <w:color w:val="000000"/>
          <w:sz w:val="20"/>
        </w:rPr>
        <w:t>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32214F" w:rsidRPr="00AB4CF6" w:rsidRDefault="0032214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2214F" w:rsidRDefault="0032214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Přílohy:   </w:t>
      </w: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rPr>
          <w:color w:val="FF0000"/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2214F" w:rsidRDefault="0032214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2214F" w:rsidRDefault="0032214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2214F" w:rsidRDefault="0032214F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Pr="00D65504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E73080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 8, třída Přátelství č.p. 2024 v Písku</w:t>
      </w:r>
    </w:p>
    <w:p w:rsidR="002C0F3C" w:rsidRPr="00C74573" w:rsidRDefault="002C0F3C" w:rsidP="002C0F3C">
      <w:pPr>
        <w:rPr>
          <w:b/>
          <w:sz w:val="28"/>
          <w:szCs w:val="28"/>
        </w:rPr>
      </w:pPr>
      <w:r w:rsidRPr="00C74573">
        <w:rPr>
          <w:b/>
          <w:sz w:val="28"/>
          <w:szCs w:val="28"/>
        </w:rPr>
        <w:t>Soupis prováděných prací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 w:rsidRPr="00C74573"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Demontáž podlahové krytiny a montáž nové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Vybourání stávajícího okna a montáž nového </w:t>
      </w:r>
      <w:proofErr w:type="gramStart"/>
      <w:r>
        <w:rPr>
          <w:sz w:val="28"/>
          <w:szCs w:val="28"/>
        </w:rPr>
        <w:t>( 1500</w:t>
      </w:r>
      <w:proofErr w:type="gramEnd"/>
      <w:r>
        <w:rPr>
          <w:sz w:val="28"/>
          <w:szCs w:val="28"/>
        </w:rPr>
        <w:t>/1600 mm )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a dveří </w:t>
      </w:r>
      <w:proofErr w:type="gramStart"/>
      <w:r>
        <w:rPr>
          <w:sz w:val="28"/>
          <w:szCs w:val="28"/>
        </w:rPr>
        <w:t>( 900</w:t>
      </w:r>
      <w:proofErr w:type="gramEnd"/>
      <w:r>
        <w:rPr>
          <w:sz w:val="28"/>
          <w:szCs w:val="28"/>
        </w:rPr>
        <w:t>/2100 mm )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Dozdění mezi oknem a panelem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 w:rsidRPr="001A081F">
        <w:rPr>
          <w:b/>
          <w:sz w:val="28"/>
          <w:szCs w:val="28"/>
        </w:rPr>
        <w:t xml:space="preserve">Kuchyň </w:t>
      </w:r>
      <w:r>
        <w:rPr>
          <w:sz w:val="28"/>
          <w:szCs w:val="28"/>
        </w:rPr>
        <w:t xml:space="preserve">  Demontáž stávajícího umakartového jádra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Vybourání stávajícího okna a montáž nového </w:t>
      </w:r>
      <w:proofErr w:type="gramStart"/>
      <w:r>
        <w:rPr>
          <w:sz w:val="28"/>
          <w:szCs w:val="28"/>
        </w:rPr>
        <w:t>( 1550</w:t>
      </w:r>
      <w:proofErr w:type="gramEnd"/>
      <w:r>
        <w:rPr>
          <w:sz w:val="28"/>
          <w:szCs w:val="28"/>
        </w:rPr>
        <w:t>/1600 mm )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Demontáž podlahové krytiny a montáž nové krytiny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kuchyňské linky, sporáku a digestoře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Pod linkou světlo + 3 zásuvky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Montáž obkladu za linku a kolem sporáku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 w:rsidRPr="001A081F">
        <w:rPr>
          <w:b/>
          <w:sz w:val="28"/>
          <w:szCs w:val="28"/>
        </w:rPr>
        <w:t>Koupelna</w:t>
      </w:r>
      <w:r>
        <w:rPr>
          <w:sz w:val="28"/>
          <w:szCs w:val="28"/>
        </w:rPr>
        <w:t xml:space="preserve">   Kompletní rekonstrukce, nové zařizovací předměty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Dispozice dle nákresu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 w:rsidRPr="00917DC8"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podlahové krytiny a montáž nové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>Oprava omítek po instalacích a nové omítky na jádru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Montáž nové elektroinstalace </w:t>
      </w:r>
      <w:proofErr w:type="gramStart"/>
      <w:r>
        <w:rPr>
          <w:sz w:val="28"/>
          <w:szCs w:val="28"/>
        </w:rPr>
        <w:t>( rekonstrukce</w:t>
      </w:r>
      <w:proofErr w:type="gramEnd"/>
      <w:r>
        <w:rPr>
          <w:sz w:val="28"/>
          <w:szCs w:val="28"/>
        </w:rPr>
        <w:t xml:space="preserve"> )</w:t>
      </w:r>
    </w:p>
    <w:p w:rsidR="002C0F3C" w:rsidRDefault="002C0F3C" w:rsidP="002C0F3C">
      <w:pPr>
        <w:rPr>
          <w:sz w:val="28"/>
          <w:szCs w:val="28"/>
        </w:rPr>
      </w:pPr>
    </w:p>
    <w:p w:rsidR="002C0F3C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>Výmalba celého bytu</w:t>
      </w: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BA7CE8" w:rsidRDefault="00BA7CE8" w:rsidP="002C0F3C">
      <w:pPr>
        <w:rPr>
          <w:sz w:val="28"/>
          <w:szCs w:val="28"/>
        </w:rPr>
      </w:pPr>
    </w:p>
    <w:p w:rsidR="002C0F3C" w:rsidRPr="001A081F" w:rsidRDefault="002C0F3C" w:rsidP="002C0F3C">
      <w:pPr>
        <w:rPr>
          <w:sz w:val="28"/>
          <w:szCs w:val="28"/>
        </w:rPr>
      </w:pPr>
    </w:p>
    <w:p w:rsidR="002C0F3C" w:rsidRPr="00C74573" w:rsidRDefault="002C0F3C" w:rsidP="002C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2C0F3C" w:rsidRPr="00C74573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6"/>
    <w:rsid w:val="00016B9E"/>
    <w:rsid w:val="00037254"/>
    <w:rsid w:val="00040307"/>
    <w:rsid w:val="00062E4C"/>
    <w:rsid w:val="000760CA"/>
    <w:rsid w:val="000779AE"/>
    <w:rsid w:val="000A6F31"/>
    <w:rsid w:val="000C3B29"/>
    <w:rsid w:val="000C705F"/>
    <w:rsid w:val="000D5720"/>
    <w:rsid w:val="00111FF7"/>
    <w:rsid w:val="00125B8B"/>
    <w:rsid w:val="00127642"/>
    <w:rsid w:val="00132741"/>
    <w:rsid w:val="0016040B"/>
    <w:rsid w:val="0016163C"/>
    <w:rsid w:val="00195094"/>
    <w:rsid w:val="002440D5"/>
    <w:rsid w:val="00294F11"/>
    <w:rsid w:val="002C0F3C"/>
    <w:rsid w:val="00312639"/>
    <w:rsid w:val="0032214F"/>
    <w:rsid w:val="0032557A"/>
    <w:rsid w:val="003324A4"/>
    <w:rsid w:val="00353F06"/>
    <w:rsid w:val="00375063"/>
    <w:rsid w:val="003A0676"/>
    <w:rsid w:val="003A5177"/>
    <w:rsid w:val="003E0EDD"/>
    <w:rsid w:val="00411028"/>
    <w:rsid w:val="00453E91"/>
    <w:rsid w:val="0046623B"/>
    <w:rsid w:val="004802CE"/>
    <w:rsid w:val="004C5452"/>
    <w:rsid w:val="004D05AB"/>
    <w:rsid w:val="004D34C3"/>
    <w:rsid w:val="00514053"/>
    <w:rsid w:val="005649A9"/>
    <w:rsid w:val="00564A94"/>
    <w:rsid w:val="00595801"/>
    <w:rsid w:val="005B224A"/>
    <w:rsid w:val="006249C2"/>
    <w:rsid w:val="00707A26"/>
    <w:rsid w:val="00711195"/>
    <w:rsid w:val="00742CA2"/>
    <w:rsid w:val="007559F6"/>
    <w:rsid w:val="0077420F"/>
    <w:rsid w:val="007F18B6"/>
    <w:rsid w:val="007F3B02"/>
    <w:rsid w:val="00810F09"/>
    <w:rsid w:val="00820732"/>
    <w:rsid w:val="00841F07"/>
    <w:rsid w:val="00876AB7"/>
    <w:rsid w:val="008A6B2B"/>
    <w:rsid w:val="008D255D"/>
    <w:rsid w:val="00900F22"/>
    <w:rsid w:val="009023DA"/>
    <w:rsid w:val="00906DAB"/>
    <w:rsid w:val="009417AC"/>
    <w:rsid w:val="009B2E4B"/>
    <w:rsid w:val="009E0369"/>
    <w:rsid w:val="00A0012C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A7CE8"/>
    <w:rsid w:val="00BC063A"/>
    <w:rsid w:val="00BF1F4C"/>
    <w:rsid w:val="00BF50C5"/>
    <w:rsid w:val="00C309FF"/>
    <w:rsid w:val="00C7559E"/>
    <w:rsid w:val="00CB1129"/>
    <w:rsid w:val="00CE73D2"/>
    <w:rsid w:val="00D02995"/>
    <w:rsid w:val="00D15A00"/>
    <w:rsid w:val="00D65504"/>
    <w:rsid w:val="00DE2A46"/>
    <w:rsid w:val="00DF61D4"/>
    <w:rsid w:val="00E3725F"/>
    <w:rsid w:val="00E66F80"/>
    <w:rsid w:val="00E73080"/>
    <w:rsid w:val="00E75624"/>
    <w:rsid w:val="00EB1AF8"/>
    <w:rsid w:val="00EB58F2"/>
    <w:rsid w:val="00EB70CF"/>
    <w:rsid w:val="00F64412"/>
    <w:rsid w:val="00F804EE"/>
    <w:rsid w:val="00F82C81"/>
    <w:rsid w:val="00FB4548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7D74A"/>
  <w15:docId w15:val="{60576020-7C65-4B0B-81B5-AA41629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6169</Words>
  <Characters>37342</Characters>
  <Application>Microsoft Office Word</Application>
  <DocSecurity>0</DocSecurity>
  <Lines>311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6</cp:revision>
  <cp:lastPrinted>2018-11-23T10:00:00Z</cp:lastPrinted>
  <dcterms:created xsi:type="dcterms:W3CDTF">2018-11-23T07:38:00Z</dcterms:created>
  <dcterms:modified xsi:type="dcterms:W3CDTF">2018-11-23T10:03:00Z</dcterms:modified>
</cp:coreProperties>
</file>